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ind w:firstLine="1441" w:firstLineChars="400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"/>
        </w:rPr>
        <w:t>出版社合作类课题选题方向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79"/>
        <w:gridCol w:w="1764"/>
        <w:gridCol w:w="5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6" w:hRule="atLeast"/>
        </w:trPr>
        <w:tc>
          <w:tcPr>
            <w:tcW w:w="9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序号 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合作单位</w:t>
            </w:r>
          </w:p>
        </w:tc>
        <w:tc>
          <w:tcPr>
            <w:tcW w:w="57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课题选题侧重方向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58" w:hRule="atLeast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外语教学与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研究出版社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57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高校外语学科发展与国际化人才培养、英语沟通能力评价研究；大学英语、外语类专业课等课程教学改革与课程思政研究；“理解当代中国”多语种课程建设与教学创新研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究、跨文化能力与思辨能力培养研究；基于数字化平台的外语测试与评价研究、新形态外语教育教学改革研究；线上线下相结合的混合式外语教学模式研究；外语类慕课、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虚拟仿真课程建设。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48" w:hRule="atLeast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人民邮电出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版社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57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数字教育资源建设研究；公共基础课程（信息技术基础、体育教育、职业素养、心理健康教育、传统文化等）改革研究；师资队伍建设研究（教学能力、科研能力、新形态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教育教学能力、课程思政能力等）。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南京大学出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版社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57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公共基础课程（入学教育、职业规划、就业创业指导，心理健康等学生管理工作，思想政治理论课，实践教学，中华优秀传统文化，体育、美育、劳动教育、数学、物理、 计算机等）；大数据与会计、电子商务、学前教育、小学教育、新能源汽车、智能装备技术、新能源材料、土建类等专业方向；数字化教育资源等。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上海交通大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学出版社</w:t>
            </w:r>
          </w:p>
        </w:tc>
        <w:tc>
          <w:tcPr>
            <w:tcW w:w="57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公共基础课（含数理化、计算机类、职就创、体美劳、心理健康、入学教育、安全教育等）教学改革研究；新形态教育教学资源建设；虚拟仿真实验建设与数字化转型教学研究。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上海外语教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育出版社</w:t>
            </w:r>
          </w:p>
        </w:tc>
        <w:tc>
          <w:tcPr>
            <w:tcW w:w="57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加快高等教育数字化转型，打造高校外语教育教学新形态；深入推进“四新"建设，带动高校外语教育教学提质创新发展；以外语课程改革小切口解决人才培养大问题，实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现高校外语教育教学改革创新的新突破；探索实践高校国际传播能力建设与国际化人才培养新模式；打造大中小学外语协同育人共同体。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北京世纪超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星信息技术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发展有限责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57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基于超星一平三端、朗润教学与管理一体化等数字化系统的应用与实践研究；基于虚拟教研室、知识图谱、专业达成度系统研究与实践；“四新学科”混合式教学研究实践；尔雅通识课程混合式教学；基于信息化工具开展超星经典阅读；基于超星教学大数据系统对教学质量评估评价研究；“双创”教育课程和“双创”师资队伍建设研究；职业教育提质培优一体化平台建设实践；教学资源库建设与实践研究；基于智慧图书馆研究与实践；基于继续教育高质量发展研究与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北京理工大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学出版社</w:t>
            </w:r>
          </w:p>
        </w:tc>
        <w:tc>
          <w:tcPr>
            <w:tcW w:w="57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教育数字化转型；党的二十大精神融入课程研究;基础课、 公共课、公共外语、创新创业、职业生涯、人文素养教学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方法研究；在线精品课程实践；信息技术“新课标”课程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研究；战略紧缺和新兴交叉领域人才培养；“四新”研究与改革实践；职业教育新形态教育教学研究；高水平专业群建设；商务英语专业人才培养；其它未列出方向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科学出版社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57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推进数学、物理、统计等一流学科各专业高水平本科；将数学实验、数学建模融入公共基础课教学及研发新形态、打造教学新形态；推进“四新”建设，带动“四新”领域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与基础学科交叉专业课建设（含大数据、人工智能、机器学习等）；多种资源形态的教学资源库建设与实践；本科金课建设与实践；职业教育新形态教育教学研究；为高职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“双高”计划专业建设提供出版、咨询及技术服务；高职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精品课程及教学资源库建设。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西安电子科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技大学出版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57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以 101 计划为引领，新工科下新一代信息技术课程创新规划与探究；电子信息类教育教学创新与改革;一流专业、一流学科下教学研究、课程思政建设的有机融合;学科专业建设与课程体系改革研究；现代产业化助推教学教改研究;高等教育通识课教育教学研究与创新；职业教育下双高专业群建设、技能大赛、创新创业、劳动教育、信息素养、人工智能方向的教学改革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南京东南大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学出版社有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限公司</w:t>
            </w:r>
          </w:p>
        </w:tc>
        <w:tc>
          <w:tcPr>
            <w:tcW w:w="57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科及高职院校的公共基础课程、通识类课程，新工科、新农科、新医科、新文科专业领域（含碳中和、集成电路、人工智能、智能制造、智能建造、智慧交通、智能医学、数字经济等），产教融合，大学生创新创业教育，数字化教学资源开发，区域性专业教育“云平台”建设，数字化自主学习平台研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苏州大学出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版社</w:t>
            </w:r>
          </w:p>
        </w:tc>
        <w:tc>
          <w:tcPr>
            <w:tcW w:w="577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教学改革研究（教学管理、教学范式、教学空间等）；实训平台建设、教育信息化建设与研究；公共基础课程（体育教育、职业素养、心理健康教育等）改革研究；会计专业群建设理论与实践研究。</w:t>
            </w:r>
          </w:p>
        </w:tc>
      </w:tr>
    </w:tbl>
    <w:p>
      <w:pPr>
        <w:keepNext w:val="0"/>
        <w:keepLines w:val="0"/>
        <w:widowControl/>
        <w:suppressLineNumbers w:val="0"/>
        <w:ind w:firstLine="1441" w:firstLineChars="400"/>
        <w:jc w:val="left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48BA6943"/>
    <w:rsid w:val="7295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2023-07-03T15:35:15Z</dcterms:created>
  <dc:creator>willamduke</dc:creator>
  <cp:lastModifiedBy>王燕燕</cp:lastModifiedBy>
  <dcterms:modified xsi:type="dcterms:W3CDTF">2023-07-03T15:53:04Z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CBD5F7F3A9DA42ACA6DD0F6236809BDF_12</vt:lpwstr>
  </property>
</Properties>
</file>